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570C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Times New Roman Semibold" w:hAnsi="Times New Roman Semibold" w:eastAsia="宋体" w:cs="Times New Roman Semibold"/>
          <w:b/>
          <w:bCs/>
          <w:sz w:val="44"/>
          <w:szCs w:val="44"/>
          <w:lang w:val="en-US" w:eastAsia="zh-CN"/>
        </w:rPr>
      </w:pPr>
      <w:r>
        <w:rPr>
          <w:rFonts w:hint="eastAsia" w:ascii="Times New Roman Semibold" w:hAnsi="Times New Roman Semibold" w:eastAsia="宋体" w:cs="Times New Roman Semibold"/>
          <w:b/>
          <w:bCs/>
          <w:sz w:val="44"/>
          <w:szCs w:val="44"/>
          <w:lang w:val="en-US" w:eastAsia="zh-CN"/>
        </w:rPr>
        <w:t>Sirui Li</w:t>
      </w:r>
    </w:p>
    <w:p w14:paraId="54F61EE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snapToGrid w:val="0"/>
          <w:color w:val="000000"/>
          <w:kern w:val="0"/>
          <w:sz w:val="24"/>
          <w:szCs w:val="24"/>
          <w:lang w:val="en-US" w:eastAsia="zh-CN" w:bidi="ar"/>
        </w:rPr>
        <w:t>Email: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cs="Times New Roman Regular"/>
        </w:rPr>
        <w:t>202421260012@mail.bnu.edu.cn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| </w:t>
      </w:r>
      <w:r>
        <w:rPr>
          <w:rFonts w:hint="default" w:ascii="Times New Roman Regular" w:hAnsi="Times New Roman Regular" w:eastAsia="宋体" w:cs="Times New Roman Regular"/>
          <w:b w:val="0"/>
          <w:bCs/>
          <w:snapToGrid w:val="0"/>
          <w:color w:val="000000"/>
          <w:kern w:val="0"/>
          <w:sz w:val="24"/>
          <w:szCs w:val="24"/>
          <w:lang w:val="en-US" w:eastAsia="zh-CN" w:bidi="ar"/>
        </w:rPr>
        <w:t>Phone: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(+86) 157-3023-8981</w:t>
      </w:r>
    </w:p>
    <w:p w14:paraId="3182CF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auto"/>
        <w:textAlignment w:val="baseline"/>
        <w:outlineLvl w:val="0"/>
        <w:rPr>
          <w:rFonts w:hint="default" w:ascii="Times New Roman Bold" w:hAnsi="Times New Roman Bold" w:eastAsia="宋体" w:cs="Times New Roman Bold"/>
          <w:b/>
          <w:bCs w:val="0"/>
          <w:spacing w:val="4"/>
          <w:sz w:val="24"/>
          <w:szCs w:val="24"/>
        </w:rPr>
      </w:pPr>
    </w:p>
    <w:p w14:paraId="551922C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eastAsia="宋体" w:cs="Times New Roman Bold"/>
          <w:b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  <w:t>EDUCATION</w:t>
      </w:r>
    </w:p>
    <w:tbl>
      <w:tblPr>
        <w:tblStyle w:val="11"/>
        <w:tblW w:w="96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8"/>
        <w:gridCol w:w="902"/>
        <w:gridCol w:w="15"/>
      </w:tblGrid>
      <w:tr w14:paraId="709C1D22">
        <w:trPr>
          <w:gridAfter w:val="1"/>
          <w:wAfter w:w="15" w:type="dxa"/>
          <w:trHeight w:val="3788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52BA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Beijing Normal University （BNU）   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Sep 2024 – Jun 2027 (Expected)</w:t>
            </w:r>
          </w:p>
          <w:p w14:paraId="733722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School of Government </w:t>
            </w:r>
          </w:p>
          <w:p w14:paraId="1F1C17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Master of  Public Policy </w:t>
            </w:r>
          </w:p>
          <w:p w14:paraId="68D681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GPA：89.86/100</w:t>
            </w:r>
          </w:p>
          <w:p w14:paraId="795C8C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Honors: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National Scholarship (Top 1%, highest honor for students in China).</w:t>
            </w:r>
          </w:p>
          <w:p w14:paraId="07BD93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Beijing Normal University （BNU）        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 Regular" w:hAnsi="Times New Roman Regular" w:eastAsia="宋体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Sep 2020 – Jun 2024</w:t>
            </w:r>
          </w:p>
          <w:p w14:paraId="7FDE7D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School of Government </w:t>
            </w:r>
          </w:p>
          <w:p w14:paraId="67CB2F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Bachelor of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Public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Management </w:t>
            </w:r>
          </w:p>
          <w:p w14:paraId="27248A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GPA：87.00/100</w:t>
            </w:r>
          </w:p>
          <w:p w14:paraId="7C870C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Honors: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Beijing Outstanding Bachelor’s Thesis (Top 1%).</w:t>
            </w:r>
          </w:p>
          <w:p w14:paraId="16EA15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PingFang SC" w:cs="Times New Roman Semibold"/>
                <w:sz w:val="23"/>
                <w:szCs w:val="23"/>
              </w:rPr>
            </w:pPr>
            <w:r>
              <w:rPr>
                <w:rFonts w:hint="eastAsia" w:ascii="Times New Roman Semibold" w:hAnsi="Times New Roman Semibold" w:eastAsia="宋体" w:cs="Times New Roman Semibold"/>
                <w:b/>
                <w:bCs w:val="0"/>
                <w:spacing w:val="4"/>
                <w:sz w:val="24"/>
                <w:szCs w:val="24"/>
                <w:lang w:val="en-US" w:eastAsia="zh-CN"/>
              </w:rPr>
              <w:t>PAPERS</w:t>
            </w:r>
          </w:p>
        </w:tc>
      </w:tr>
      <w:tr w14:paraId="15ACAB7E">
        <w:trPr>
          <w:gridAfter w:val="1"/>
          <w:wAfter w:w="15" w:type="dxa"/>
          <w:trHeight w:val="3179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791F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Semibold" w:hAnsi="Times New Roman Semibold" w:cs="Times New Roman Semibold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Journal Articles</w:t>
            </w:r>
          </w:p>
          <w:p w14:paraId="3141184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Times New Roman Semibold" w:hAnsi="Times New Roman Semibold" w:cs="Times New Roman Semibold"/>
              </w:rPr>
            </w:pP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 xml:space="preserve">Guo, Y., 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  <w:lang w:val="en-US" w:eastAsia="zh-CN"/>
              </w:rPr>
              <w:t>Li, S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>., Zhou, L., &amp; Sun, Y. (2024). Exploring the influence of technology regulatory policy instruments on public acceptance of algorithm recommender systems. </w:t>
            </w:r>
            <w:r>
              <w:rPr>
                <w:rFonts w:hint="default" w:ascii="Times New Roman Semibold" w:hAnsi="Times New Roman Semibold" w:cs="Times New Roman Semibold"/>
                <w:i/>
                <w:iCs/>
                <w:sz w:val="24"/>
                <w:szCs w:val="24"/>
                <w:lang w:val="en-US" w:eastAsia="zh-CN"/>
              </w:rPr>
              <w:t>Government Information Quarterly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>, 41(3), Article 101940.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</w:rPr>
              <w:t xml:space="preserve"> 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</w:rPr>
              <w:t>(SSCI, JCR Q1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  <w:lang w:val="en-US"/>
              </w:rPr>
              <w:t>,Impact Factor=10.0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</w:rPr>
              <w:t>)</w:t>
            </w:r>
          </w:p>
          <w:p w14:paraId="559591A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Times New Roman Semibold" w:hAnsi="Times New Roman Semibold" w:cs="Times New Roman Semibold"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Li, 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., Xu, P., &amp; Guo, Y. (2026). Location, location, reaction: How mandatory IP disclosure silences critics and sparks backlash. Policy &amp; Internet, 18(1), e70034.</w:t>
            </w:r>
          </w:p>
          <w:p w14:paraId="0917C7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jc w:val="both"/>
              <w:textAlignment w:val="baseline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Working Papers</w:t>
            </w:r>
          </w:p>
          <w:p w14:paraId="600991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[3]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 Guo, Y., Xie, W., &amp;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Li, 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. (2025). Preference Migration After Algorithmic Failure: Do Citizens Turn to Human Decision-Makers? </w:t>
            </w:r>
          </w:p>
          <w:p w14:paraId="07451A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Times New Roman Regular" w:hAnsi="Times New Roman Regular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[4]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 Li, 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., Zhang, Z., &amp; Guo, Y. (2025). When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>AI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 Goes Wrong, Who Gets Blamed? Government Decision Errors and Public Blame.</w:t>
            </w:r>
          </w:p>
          <w:p w14:paraId="55A98B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宋体" w:cs="Times New Roman Semibold"/>
                <w:b/>
                <w:bCs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CONFERENCE PRESENT</w:t>
            </w:r>
            <w:bookmarkStart w:id="0" w:name="_GoBack"/>
            <w:bookmarkEnd w:id="0"/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ATIONS</w:t>
            </w:r>
          </w:p>
        </w:tc>
      </w:tr>
      <w:tr w14:paraId="7E98D8A4">
        <w:trPr>
          <w:gridAfter w:val="1"/>
          <w:wAfter w:w="15" w:type="dxa"/>
          <w:trHeight w:val="90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D898E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2025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instrText xml:space="preserve"> HYPERLINK "https://www.ibppa.org/conference" </w:instrTex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F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ur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th International Behavioural Public Policy Conference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(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IBBPC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London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UK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;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Bold" w:hAnsi="Times New Roman Bold" w:eastAsia="TimesNewRomanPS-BoldMT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2025 The International Conference on China Policy Studies (ICCPS)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Beijing, China.</w:t>
            </w:r>
          </w:p>
          <w:p w14:paraId="329B18E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“Preference Migration After Algorithmic Failure: Do Citizens Turn to Human Decision</w:t>
            </w: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Makers?”</w:t>
            </w:r>
          </w:p>
          <w:p w14:paraId="239B26E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202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10"/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202124"/>
                <w:spacing w:val="0"/>
                <w:sz w:val="24"/>
                <w:szCs w:val="24"/>
                <w:u w:val="none"/>
                <w:shd w:val="clear" w:fill="FFFFFF"/>
              </w:rPr>
              <w:t>Association for Public Policy Analysis and Management (APPAM)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Washington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USA.</w:t>
            </w:r>
          </w:p>
          <w:p w14:paraId="3BAF2A8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“Regulatory Disclosure and Negative Online Sentiment: The Chilling and Reactance Effects of Mandatory IP Location Disclosure”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>.</w:t>
            </w:r>
          </w:p>
          <w:p w14:paraId="17392330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2023 Asia-Pacific Public Policy Network Conference (AP-PPN)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Hong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Kong, China;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 xml:space="preserve">2023 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instrText xml:space="preserve"> HYPERLINK "https://www.mpsanet.org/" </w:instrTex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Midwest Political Science Association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>MPSA)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4"/>
                <w:szCs w:val="24"/>
                <w:lang w:val="en-US"/>
              </w:rPr>
              <w:t>Online.</w:t>
            </w:r>
          </w:p>
          <w:p w14:paraId="2B2449B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“Exploring the influence of technology regulatory policy instruments on public acceptance of algorithm recommender systems”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>.</w:t>
            </w:r>
          </w:p>
          <w:p w14:paraId="374212A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ind w:leftChars="0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RESEARCH EXPERIENCE</w:t>
            </w:r>
          </w:p>
        </w:tc>
      </w:tr>
      <w:tr w14:paraId="4C80A52C">
        <w:trPr>
          <w:gridAfter w:val="1"/>
          <w:wAfter w:w="15" w:type="dxa"/>
          <w:trHeight w:val="1318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A2332C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Chars="0"/>
              <w:textAlignment w:val="baseline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National Data Bureau Project: AI-Related Data Systems Study 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 xml:space="preserve">                           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>2024 – Present</w:t>
            </w:r>
          </w:p>
          <w:p w14:paraId="5906E4E8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Analyzed the evolution of AI-related data policies in China, the U.S., and the EU to identify regulatory trends and gaps.</w:t>
            </w:r>
          </w:p>
          <w:p w14:paraId="0DE289E2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Drafted policy briefs on "Synthetic Data" management and contributed to high-level consultation reports for government decision-making.</w:t>
            </w:r>
          </w:p>
          <w:p w14:paraId="267DA97F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Chars="0"/>
              <w:textAlignment w:val="baseline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National Natural Science Foundation of China (NSFC) Project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 xml:space="preserve">                           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 202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3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 – Present</w:t>
            </w:r>
          </w:p>
          <w:p w14:paraId="47B2B3D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Conducted comprehensive literature review and data collection on behavioral public policy tools.</w:t>
            </w:r>
          </w:p>
          <w:p w14:paraId="67F9F0D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lang w:val="en-US"/>
              </w:rPr>
            </w:pPr>
            <w:r>
              <w:t>Synthesized data to draft comparative analysis reports on policy instrument effectiveness.</w:t>
            </w:r>
          </w:p>
          <w:p w14:paraId="12C60B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PingFang SC" w:cs="Times New Roman Semibold"/>
                <w:sz w:val="23"/>
                <w:szCs w:val="23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 &amp; AWARDS</w:t>
            </w:r>
          </w:p>
        </w:tc>
      </w:tr>
      <w:tr w14:paraId="6DC6087F">
        <w:trPr>
          <w:trHeight w:val="603" w:hRule="atLeast"/>
        </w:trPr>
        <w:tc>
          <w:tcPr>
            <w:tcW w:w="8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D86033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National Scholarship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(Top 1%, highest honor for students in China)</w:t>
            </w:r>
          </w:p>
          <w:p w14:paraId="7F28ADC2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Beijing Outstanding Bachelor’s Thesis (Top 1% of graduates in Beijing)</w:t>
            </w:r>
          </w:p>
          <w:p w14:paraId="4FB959C5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Best Paper Award (Global Chinese Urban Governance &amp; Policy Symposium) </w:t>
            </w:r>
          </w:p>
          <w:p w14:paraId="63C6087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Third Prize, National College Student English Competition</w:t>
            </w:r>
          </w:p>
          <w:p w14:paraId="27F21FF3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Jingshi Second-Class Scholarship (Academic Excellence)</w:t>
            </w:r>
          </w:p>
          <w:p w14:paraId="0C2BA5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ascii="PingFang SC" w:hAnsi="PingFang SC" w:eastAsia="PingFang SC" w:cs="PingFang SC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ACADEMIC SERVICE &amp; SKILLS</w:t>
            </w:r>
          </w:p>
        </w:tc>
        <w:tc>
          <w:tcPr>
            <w:tcW w:w="9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A23CE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7693283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  <w:p w14:paraId="58230D1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14:paraId="581161C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  <w:p w14:paraId="611BC55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2022</w:t>
            </w:r>
          </w:p>
          <w:p w14:paraId="2B2C328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360" w:lineRule="auto"/>
              <w:jc w:val="right"/>
              <w:textAlignment w:val="baseline"/>
              <w:rPr>
                <w:sz w:val="24"/>
                <w:szCs w:val="24"/>
              </w:rPr>
            </w:pPr>
          </w:p>
        </w:tc>
      </w:tr>
    </w:tbl>
    <w:p w14:paraId="27FA4BEB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Service: Editorial Assistant, China Policy Journal (2024–Present).</w:t>
      </w:r>
    </w:p>
    <w:p w14:paraId="114B1487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Methods: Causal Inference (RDD, DID), Survey Experiments, Text Analysis.</w:t>
      </w:r>
    </w:p>
    <w:p w14:paraId="1E64AC4E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Software: Stata, R.</w:t>
      </w:r>
    </w:p>
    <w:p w14:paraId="7165E0BA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Languages: Chinese (Native), English (</w:t>
      </w:r>
      <w:r>
        <w:rPr>
          <w:rFonts w:hint="default"/>
          <w:lang w:val="en-US" w:eastAsia="zh-CN"/>
        </w:rPr>
        <w:t>IELTS 7.0</w:t>
      </w:r>
      <w:r>
        <w:rPr>
          <w:rFonts w:hint="default"/>
        </w:rPr>
        <w:t>).</w:t>
      </w:r>
    </w:p>
    <w:sectPr>
      <w:footerReference r:id="rId5" w:type="default"/>
      <w:pgSz w:w="11906" w:h="16838"/>
      <w:pgMar w:top="1153" w:right="1047" w:bottom="703" w:left="1152" w:header="0" w:footer="50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Semi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1D67A">
    <w:pPr>
      <w:pStyle w:val="3"/>
      <w:spacing w:line="183" w:lineRule="auto"/>
      <w:ind w:left="4755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2B1C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2B1C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FED2B"/>
    <w:multiLevelType w:val="singleLevel"/>
    <w:tmpl w:val="DD7FED2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auto"/>
        <w:sz w:val="16"/>
        <w:szCs w:val="16"/>
        <w14:textFill>
          <w14:noFill/>
        </w14:textFill>
      </w:rPr>
    </w:lvl>
  </w:abstractNum>
  <w:abstractNum w:abstractNumId="1">
    <w:nsid w:val="E3E7E54E"/>
    <w:multiLevelType w:val="singleLevel"/>
    <w:tmpl w:val="E3E7E54E"/>
    <w:lvl w:ilvl="0" w:tentative="0">
      <w:start w:val="1"/>
      <w:numFmt w:val="decimal"/>
      <w:suff w:val="space"/>
      <w:lvlText w:val="[%1]"/>
      <w:lvlJc w:val="left"/>
    </w:lvl>
  </w:abstractNum>
  <w:abstractNum w:abstractNumId="2">
    <w:nsid w:val="E9FEE6F4"/>
    <w:multiLevelType w:val="singleLevel"/>
    <w:tmpl w:val="E9FEE6F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3">
    <w:nsid w:val="F3DE240A"/>
    <w:multiLevelType w:val="singleLevel"/>
    <w:tmpl w:val="F3DE240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4">
    <w:nsid w:val="FDDBBCCF"/>
    <w:multiLevelType w:val="singleLevel"/>
    <w:tmpl w:val="FDDBBCC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5">
    <w:nsid w:val="37FF3831"/>
    <w:multiLevelType w:val="singleLevel"/>
    <w:tmpl w:val="37FF383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6">
    <w:nsid w:val="5CFA2BD8"/>
    <w:multiLevelType w:val="singleLevel"/>
    <w:tmpl w:val="5CFA2B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5F7368EE"/>
    <w:rsid w:val="6FEF1B39"/>
    <w:rsid w:val="75D8E2E2"/>
    <w:rsid w:val="77DD4B90"/>
    <w:rsid w:val="7AD84C45"/>
    <w:rsid w:val="AEFF94CB"/>
    <w:rsid w:val="BFB75367"/>
    <w:rsid w:val="DCFF0EE1"/>
    <w:rsid w:val="F66F1072"/>
    <w:rsid w:val="F87A2F76"/>
    <w:rsid w:val="FB3F5AF1"/>
    <w:rsid w:val="FFFB6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customStyle="1" w:styleId="13">
    <w:name w:val="简历正文"/>
    <w:basedOn w:val="1"/>
    <w:uiPriority w:val="0"/>
    <w:rPr>
      <w:rFonts w:ascii="Times New Roman Semibold" w:hAnsi="Times New Roman Semibold" w:eastAsia="宋体" w:cs="Times New Roman Semibold"/>
    </w:rPr>
  </w:style>
  <w:style w:type="paragraph" w:customStyle="1" w:styleId="14">
    <w:name w:val="Paper_content"/>
    <w:basedOn w:val="1"/>
    <w:uiPriority w:val="0"/>
    <w:pPr>
      <w:spacing w:line="400" w:lineRule="exact"/>
      <w:ind w:firstLine="56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15">
    <w:name w:val="List Paragraph"/>
    <w:basedOn w:val="1"/>
    <w:qFormat/>
    <w:uiPriority w:val="34"/>
    <w:pPr>
      <w:ind w:firstLine="420"/>
    </w:pPr>
  </w:style>
  <w:style w:type="paragraph" w:customStyle="1" w:styleId="16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paragraph" w:customStyle="1" w:styleId="17">
    <w:name w:val="CV"/>
    <w:basedOn w:val="1"/>
    <w:uiPriority w:val="0"/>
    <w:pPr>
      <w:spacing w:line="360" w:lineRule="exact"/>
    </w:pPr>
    <w:rPr>
      <w:rFonts w:ascii="Times New Roman Regular" w:hAnsi="Times New Roman Regular" w:cs="Times New Roman Regular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452</Words>
  <Characters>2818</Characters>
  <TotalTime>0</TotalTime>
  <ScaleCrop>false</ScaleCrop>
  <LinksUpToDate>false</LinksUpToDate>
  <CharactersWithSpaces>3380</CharactersWithSpaces>
  <Application>WPS Office_7.3.1.8967_F1E327BC-269C-435d-A152-05C5408002CA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2025-11-27T23:35:00Z</dcterms:created>
  <dc:creator>Data</dc:creator>
  <cp:lastModifiedBy>San</cp:lastModifiedBy>
  <dcterms:modified xsi:type="dcterms:W3CDTF">2026-07-27T16:09:59Z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2025-12-14T06:36:01Z</vt:filetime>
  </property>
  <property fmtid="{D5CDD505-2E9C-101B-9397-08002B2CF9AE}" pid="4" name="KSOProductBuildVer">
    <vt:lpwstr>2052-7.3.1.8967</vt:lpwstr>
  </property>
  <property fmtid="{D5CDD505-2E9C-101B-9397-08002B2CF9AE}" pid="5" name="ICV">
    <vt:lpwstr>C21626B1E5C9EAC87F043E690B713626_43</vt:lpwstr>
  </property>
</Properties>
</file>